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Ecografías · guía de consulta del centro médico</w:t>
      </w:r>
    </w:p>
    <w:p>
      <w:pPr>
        <w:pStyle w:val="Subtitle"/>
      </w:pPr>
      <w:r>
        <w:t xml:space="preserve">18 estudios | Dr. Gustavo Yanes · Campoalegre, Huila | Revisión: 27 de septiembre de 2026</w:t>
      </w:r>
    </w:p>
    <w:p>
      <w:pPr>
        <w:pStyle w:val="Small"/>
      </w:pPr>
      <w:r>
        <w:t xml:space="preserve">Selección orientativa ampliada a solicitud del médico; no representa un ranking de frecuencia del CM. Códigos contrastados con CUPS 2026 [1]. Preparación general para adultos, ajustable al protocolo y a la condición clínica.</w:t>
      </w:r>
    </w:p>
    <w:p>
      <w:pPr>
        <w:pStyle w:val="Small"/>
      </w:pPr>
      <w:r>
        <w:t xml:space="preserve">“A descartar” significa patologías o hallazgos que se busca evaluar: un resultado normal no los excluye todos. Correlacionar con clínica y pruebas complementarias.</w:t>
      </w:r>
    </w:p>
    <w:tbl>
      <w:tblPr>
        <w:tblW w:w="14112" w:type="dxa"/>
        <w:tblInd w:w="120" w:type="dxa"/>
        <w:tblLayout w:type="fixed"/>
        <w:tblBorders>
          <w:top w:val="single" w:sz="4" w:color="C9D4DB"/>
          <w:left w:val="single" w:sz="4" w:color="C9D4DB"/>
          <w:bottom w:val="single" w:sz="4" w:color="C9D4DB"/>
          <w:right w:val="single" w:sz="4" w:color="C9D4DB"/>
          <w:insideH w:val="single" w:sz="4" w:color="C9D4DB"/>
          <w:insideV w:val="single" w:sz="4" w:color="C9D4DB"/>
        </w:tblBorders>
        <w:tblCellMar>
          <w:top w:w="80" w:type="dxa"/>
          <w:bottom w:w="80" w:type="dxa"/>
          <w:start w:w="120" w:type="dxa"/>
          <w:end w:w="120" w:type="dxa"/>
        </w:tblCellMar>
      </w:tblPr>
      <w:tblGrid>
        <w:gridCol w:w="2200"/>
        <w:gridCol w:w="1100"/>
        <w:gridCol w:w="3000"/>
        <w:gridCol w:w="3400"/>
        <w:gridCol w:w="4412"/>
      </w:tblGrid>
      <w:tr>
        <w:trPr>
          <w:cantSplit/>
          <w:tblHeader/>
        </w:trPr>
        <w:tc>
          <w:tcPr>
            <w:tcW w:w="2200" w:type="dxa"/>
            <w:shd w:fill="E8EEF5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Ecografía</w:t>
            </w:r>
          </w:p>
        </w:tc>
        <w:tc>
          <w:tcPr>
            <w:tcW w:w="1100" w:type="dxa"/>
            <w:shd w:fill="E8EEF5"/>
            <w:vAlign w:val="center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Código CUPS</w:t>
            </w:r>
          </w:p>
        </w:tc>
        <w:tc>
          <w:tcPr>
            <w:tcW w:w="3000" w:type="dxa"/>
            <w:shd w:fill="E8EEF5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A estudiar</w:t>
            </w:r>
          </w:p>
        </w:tc>
        <w:tc>
          <w:tcPr>
            <w:tcW w:w="3400" w:type="dxa"/>
            <w:shd w:fill="E8EEF5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Preparación</w:t>
            </w:r>
          </w:p>
        </w:tc>
        <w:tc>
          <w:tcPr>
            <w:tcW w:w="4412" w:type="dxa"/>
            <w:shd w:fill="E8EEF5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Principales patologías a descartar</w:t>
            </w:r>
          </w:p>
        </w:tc>
      </w:tr>
      <w:tr>
        <w:trPr>
          <w:cantSplit/>
        </w:trPr>
        <w:tc>
          <w:tcPr>
            <w:tcW w:w="2200" w:type="dxa"/>
            <w:shd w:fill="FFFFFF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Abdomen total</w:t>
            </w:r>
          </w:p>
        </w:tc>
        <w:tc>
          <w:tcPr>
            <w:tcW w:w="1100" w:type="dxa"/>
            <w:shd w:fill="FFFFFF"/>
            <w:vAlign w:val="center"/>
          </w:tcPr>
          <w:p>
            <w:pPr>
              <w:pStyle w:val="TableText"/>
              <w:jc w:val="center"/>
            </w:pPr>
            <w:r>
              <w:t xml:space="preserve">881302</w:t>
            </w:r>
          </w:p>
        </w:tc>
        <w:tc>
          <w:tcPr>
            <w:tcW w:w="3000" w:type="dxa"/>
            <w:shd w:fill="FFFFFF"/>
            <w:vAlign w:val="center"/>
          </w:tcPr>
          <w:p>
            <w:pPr>
              <w:pStyle w:val="TableText"/>
            </w:pPr>
            <w:r>
              <w:t xml:space="preserve">Hígado, vesícula, vías biliares, páncreas, bazo, riñones, grandes vasos y vejiga; pelvis según ventana y protocolo.</w:t>
            </w:r>
          </w:p>
        </w:tc>
        <w:tc>
          <w:tcPr>
            <w:tcW w:w="3400" w:type="dxa"/>
            <w:shd w:fill="FFFFFF"/>
            <w:vAlign w:val="center"/>
          </w:tcPr>
          <w:p>
            <w:pPr>
              <w:pStyle w:val="TableText"/>
            </w:pPr>
            <w:r>
              <w:t xml:space="preserve">Ayuno de sólidos de 6 horas, según protocolo local. Agua simple según indicación; vejiga llena para valorar pelvis. Individualizar en diabetes y restricción de líquidos.</w:t>
            </w:r>
          </w:p>
        </w:tc>
        <w:tc>
          <w:tcPr>
            <w:tcW w:w="4412" w:type="dxa"/>
            <w:shd w:fill="FFFFFF"/>
            <w:vAlign w:val="center"/>
          </w:tcPr>
          <w:p>
            <w:pPr>
              <w:pStyle w:val="TableText"/>
            </w:pPr>
            <w:r>
              <w:t xml:space="preserve">Colelitiasis, signos de colecistitis, dilatación biliar, esteatosis, quistes o masas, ascitis e hidronefrosis. El gas puede limitar páncreas e intestino. [2,3]</w:t>
            </w:r>
          </w:p>
        </w:tc>
      </w:tr>
      <w:tr>
        <w:trPr>
          <w:cantSplit/>
        </w:trPr>
        <w:tc>
          <w:tcPr>
            <w:tcW w:w="2200" w:type="dxa"/>
            <w:shd w:fill="F6F8FA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Abdomen superior</w:t>
            </w:r>
          </w:p>
        </w:tc>
        <w:tc>
          <w:tcPr>
            <w:tcW w:w="1100" w:type="dxa"/>
            <w:shd w:fill="F6F8FA"/>
            <w:vAlign w:val="center"/>
          </w:tcPr>
          <w:p>
            <w:pPr>
              <w:pStyle w:val="TableText"/>
              <w:jc w:val="center"/>
            </w:pPr>
            <w:r>
              <w:t xml:space="preserve">881305</w:t>
            </w:r>
          </w:p>
        </w:tc>
        <w:tc>
          <w:tcPr>
            <w:tcW w:w="3000" w:type="dxa"/>
            <w:shd w:fill="F6F8FA"/>
            <w:vAlign w:val="center"/>
          </w:tcPr>
          <w:p>
            <w:pPr>
              <w:pStyle w:val="TableText"/>
            </w:pPr>
            <w:r>
              <w:t xml:space="preserve">Hígado, vesícula, vía biliar, páncreas, bazo y estructuras del abdomen superior según indicación.</w:t>
            </w:r>
          </w:p>
        </w:tc>
        <w:tc>
          <w:tcPr>
            <w:tcW w:w="3400" w:type="dxa"/>
            <w:shd w:fill="F6F8FA"/>
            <w:vAlign w:val="center"/>
          </w:tcPr>
          <w:p>
            <w:pPr>
              <w:pStyle w:val="TableText"/>
            </w:pPr>
            <w:r>
              <w:t xml:space="preserve">Ayuno de sólidos de 6 horas según protocolo; agua simple según indicación. No requiere llenado vesical si no se estudia pelvis.</w:t>
            </w:r>
          </w:p>
        </w:tc>
        <w:tc>
          <w:tcPr>
            <w:tcW w:w="4412" w:type="dxa"/>
            <w:shd w:fill="F6F8FA"/>
            <w:vAlign w:val="center"/>
          </w:tcPr>
          <w:p>
            <w:pPr>
              <w:pStyle w:val="TableText"/>
            </w:pPr>
            <w:r>
              <w:t xml:space="preserve">Colelitiasis, signos de colecistitis, dilatación biliar, esteatosis, hepatomegalia, esplenomegalia y lesiones focales. No excluye pancreatitis ni enfermedad intestinal. [2,3]</w:t>
            </w:r>
          </w:p>
        </w:tc>
      </w:tr>
      <w:tr>
        <w:trPr>
          <w:cantSplit/>
        </w:trPr>
        <w:tc>
          <w:tcPr>
            <w:tcW w:w="2200" w:type="dxa"/>
            <w:shd w:fill="FFFFFF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Vías urinarias</w:t>
            </w:r>
          </w:p>
        </w:tc>
        <w:tc>
          <w:tcPr>
            <w:tcW w:w="1100" w:type="dxa"/>
            <w:shd w:fill="FFFFFF"/>
            <w:vAlign w:val="center"/>
          </w:tcPr>
          <w:p>
            <w:pPr>
              <w:pStyle w:val="TableText"/>
              <w:jc w:val="center"/>
            </w:pPr>
            <w:r>
              <w:t xml:space="preserve">881332</w:t>
            </w:r>
          </w:p>
        </w:tc>
        <w:tc>
          <w:tcPr>
            <w:tcW w:w="3000" w:type="dxa"/>
            <w:shd w:fill="FFFFFF"/>
            <w:vAlign w:val="center"/>
          </w:tcPr>
          <w:p>
            <w:pPr>
              <w:pStyle w:val="TableText"/>
            </w:pPr>
            <w:r>
              <w:t xml:space="preserve">Riñones, sistema colector y vejiga; próstata por vía abdominal cuando corresponda. Volumen vesical y residuo posmiccional si están indicados.</w:t>
            </w:r>
          </w:p>
        </w:tc>
        <w:tc>
          <w:tcPr>
            <w:tcW w:w="3400" w:type="dxa"/>
            <w:shd w:fill="FFFFFF"/>
            <w:vAlign w:val="center"/>
          </w:tcPr>
          <w:p>
            <w:pPr>
              <w:pStyle w:val="TableText"/>
            </w:pPr>
            <w:r>
              <w:t xml:space="preserve">Vejiga cómodamente llena: beber agua y evitar orinar antes, según indicación del centro. Puede solicitarse micción durante el examen. Ayuno solo si se indica.</w:t>
            </w:r>
          </w:p>
        </w:tc>
        <w:tc>
          <w:tcPr>
            <w:tcW w:w="4412" w:type="dxa"/>
            <w:shd w:fill="FFFFFF"/>
            <w:vAlign w:val="center"/>
          </w:tcPr>
          <w:p>
            <w:pPr>
              <w:pStyle w:val="TableText"/>
            </w:pPr>
            <w:r>
              <w:t xml:space="preserve">Litiasis visible, hidronefrosis, quistes o masas renales, alteraciones vesicales, crecimiento prostático y residuo elevado. No excluye infección urinaria ni toda litiasis ureteral. [4,5]</w:t>
            </w:r>
          </w:p>
        </w:tc>
      </w:tr>
      <w:tr>
        <w:trPr>
          <w:cantSplit/>
        </w:trPr>
        <w:tc>
          <w:tcPr>
            <w:tcW w:w="2200" w:type="dxa"/>
            <w:shd w:fill="F6F8FA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Pélvica ginecológica transvaginal</w:t>
            </w:r>
          </w:p>
        </w:tc>
        <w:tc>
          <w:tcPr>
            <w:tcW w:w="1100" w:type="dxa"/>
            <w:shd w:fill="F6F8FA"/>
            <w:vAlign w:val="center"/>
          </w:tcPr>
          <w:p>
            <w:pPr>
              <w:pStyle w:val="TableText"/>
              <w:jc w:val="center"/>
            </w:pPr>
            <w:r>
              <w:t xml:space="preserve">881401</w:t>
            </w:r>
          </w:p>
        </w:tc>
        <w:tc>
          <w:tcPr>
            <w:tcW w:w="3000" w:type="dxa"/>
            <w:shd w:fill="F6F8FA"/>
            <w:vAlign w:val="center"/>
          </w:tcPr>
          <w:p>
            <w:pPr>
              <w:pStyle w:val="TableText"/>
            </w:pPr>
            <w:r>
              <w:t xml:space="preserve">Útero, endometrio, miometrio, ovarios, anexos y fondo de saco.</w:t>
            </w:r>
          </w:p>
        </w:tc>
        <w:tc>
          <w:tcPr>
            <w:tcW w:w="3400" w:type="dxa"/>
            <w:shd w:fill="F6F8FA"/>
            <w:vAlign w:val="center"/>
          </w:tcPr>
          <w:p>
            <w:pPr>
              <w:pStyle w:val="TableText"/>
            </w:pPr>
            <w:r>
              <w:t xml:space="preserve">Vaciar la vejiga antes. Sin ayuno habitual. Explicar la vía y obtener consentimiento; informar posibilidad de embarazo y alergias. Llevar fecha de última menstruación.</w:t>
            </w:r>
          </w:p>
        </w:tc>
        <w:tc>
          <w:tcPr>
            <w:tcW w:w="4412" w:type="dxa"/>
            <w:shd w:fill="F6F8FA"/>
            <w:vAlign w:val="center"/>
          </w:tcPr>
          <w:p>
            <w:pPr>
              <w:pStyle w:val="TableText"/>
            </w:pPr>
            <w:r>
              <w:t xml:space="preserve">Miomas, quistes y masas anexiales, alteraciones endometriales y líquido libre. Hallazgos sospechosos pueden requerir otros estudios o biopsia. [5]</w:t>
            </w:r>
          </w:p>
        </w:tc>
      </w:tr>
      <w:tr>
        <w:trPr>
          <w:cantSplit/>
        </w:trPr>
        <w:tc>
          <w:tcPr>
            <w:tcW w:w="2200" w:type="dxa"/>
            <w:shd w:fill="FFFFFF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Pélvica ginecológica transabdominal</w:t>
            </w:r>
          </w:p>
        </w:tc>
        <w:tc>
          <w:tcPr>
            <w:tcW w:w="1100" w:type="dxa"/>
            <w:shd w:fill="FFFFFF"/>
            <w:vAlign w:val="center"/>
          </w:tcPr>
          <w:p>
            <w:pPr>
              <w:pStyle w:val="TableText"/>
              <w:jc w:val="center"/>
            </w:pPr>
            <w:r>
              <w:t xml:space="preserve">881402</w:t>
            </w:r>
          </w:p>
        </w:tc>
        <w:tc>
          <w:tcPr>
            <w:tcW w:w="3000" w:type="dxa"/>
            <w:shd w:fill="FFFFFF"/>
            <w:vAlign w:val="center"/>
          </w:tcPr>
          <w:p>
            <w:pPr>
              <w:pStyle w:val="TableText"/>
            </w:pPr>
            <w:r>
              <w:t xml:space="preserve">Útero, ovarios, anexos y pelvis por ventana vesical.</w:t>
            </w:r>
          </w:p>
        </w:tc>
        <w:tc>
          <w:tcPr>
            <w:tcW w:w="3400" w:type="dxa"/>
            <w:shd w:fill="FFFFFF"/>
            <w:vAlign w:val="center"/>
          </w:tcPr>
          <w:p>
            <w:pPr>
              <w:pStyle w:val="TableText"/>
            </w:pPr>
            <w:r>
              <w:t xml:space="preserve">Vejiga cómodamente llena según indicación; no orinar antes. Sin ayuno habitual si el estudio es únicamente pélvico.</w:t>
            </w:r>
          </w:p>
        </w:tc>
        <w:tc>
          <w:tcPr>
            <w:tcW w:w="4412" w:type="dxa"/>
            <w:shd w:fill="FFFFFF"/>
            <w:vAlign w:val="center"/>
          </w:tcPr>
          <w:p>
            <w:pPr>
              <w:pStyle w:val="TableText"/>
            </w:pPr>
            <w:r>
              <w:t xml:space="preserve">Miomas, masas uterinas o anexiales, quistes ováricos y líquido libre. Menor detalle que la vía transvaginal en algunas pacientes. [5]</w:t>
            </w:r>
          </w:p>
        </w:tc>
      </w:tr>
      <w:tr>
        <w:trPr>
          <w:cantSplit/>
        </w:trPr>
        <w:tc>
          <w:tcPr>
            <w:tcW w:w="2200" w:type="dxa"/>
            <w:shd w:fill="F6F8FA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Obstétrica transabdominal</w:t>
            </w:r>
          </w:p>
        </w:tc>
        <w:tc>
          <w:tcPr>
            <w:tcW w:w="1100" w:type="dxa"/>
            <w:shd w:fill="F6F8FA"/>
            <w:vAlign w:val="center"/>
          </w:tcPr>
          <w:p>
            <w:pPr>
              <w:pStyle w:val="TableText"/>
              <w:jc w:val="center"/>
            </w:pPr>
            <w:r>
              <w:t xml:space="preserve">881431</w:t>
            </w:r>
          </w:p>
        </w:tc>
        <w:tc>
          <w:tcPr>
            <w:tcW w:w="3000" w:type="dxa"/>
            <w:shd w:fill="F6F8FA"/>
            <w:vAlign w:val="center"/>
          </w:tcPr>
          <w:p>
            <w:pPr>
              <w:pStyle w:val="TableText"/>
            </w:pPr>
            <w:r>
              <w:t xml:space="preserve">Vitalidad, número de fetos, biometría, crecimiento, presentación, placenta y líquido amniótico según edad gestacional.</w:t>
            </w:r>
          </w:p>
        </w:tc>
        <w:tc>
          <w:tcPr>
            <w:tcW w:w="3400" w:type="dxa"/>
            <w:shd w:fill="F6F8FA"/>
            <w:vAlign w:val="center"/>
          </w:tcPr>
          <w:p>
            <w:pPr>
              <w:pStyle w:val="TableText"/>
            </w:pPr>
            <w:r>
              <w:t xml:space="preserve">Sin ayuno habitual. Llevar ecografías previas y fecha de última menstruación. El llenado de vejiga depende de la edad gestacional y de la ventana requerida.</w:t>
            </w:r>
          </w:p>
        </w:tc>
        <w:tc>
          <w:tcPr>
            <w:tcW w:w="4412" w:type="dxa"/>
            <w:shd w:fill="F6F8FA"/>
            <w:vAlign w:val="center"/>
          </w:tcPr>
          <w:p>
            <w:pPr>
              <w:pStyle w:val="TableText"/>
            </w:pPr>
            <w:r>
              <w:t xml:space="preserve">Alteraciones del crecimiento, cantidad anormal de líquido, localización placentaria anómala y anomalías visibles. No sustituye el detalle anatómico ni descarta todas las malformaciones. [6]</w:t>
            </w:r>
          </w:p>
        </w:tc>
      </w:tr>
      <w:tr>
        <w:trPr>
          <w:cantSplit/>
        </w:trPr>
        <w:tc>
          <w:tcPr>
            <w:tcW w:w="2200" w:type="dxa"/>
            <w:shd w:fill="FFFFFF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Tiroides</w:t>
            </w:r>
          </w:p>
        </w:tc>
        <w:tc>
          <w:tcPr>
            <w:tcW w:w="1100" w:type="dxa"/>
            <w:shd w:fill="FFFFFF"/>
            <w:vAlign w:val="center"/>
          </w:tcPr>
          <w:p>
            <w:pPr>
              <w:pStyle w:val="TableText"/>
              <w:jc w:val="center"/>
            </w:pPr>
            <w:r>
              <w:t xml:space="preserve">881141</w:t>
            </w:r>
          </w:p>
        </w:tc>
        <w:tc>
          <w:tcPr>
            <w:tcW w:w="3000" w:type="dxa"/>
            <w:shd w:fill="FFFFFF"/>
            <w:vAlign w:val="center"/>
          </w:tcPr>
          <w:p>
            <w:pPr>
              <w:pStyle w:val="TableText"/>
            </w:pPr>
            <w:r>
              <w:t xml:space="preserve">Lóbulos tiroideos, istmo, volumen y características de nódulos; tejidos adyacentes según indicación.</w:t>
            </w:r>
          </w:p>
        </w:tc>
        <w:tc>
          <w:tcPr>
            <w:tcW w:w="3400" w:type="dxa"/>
            <w:shd w:fill="FFFFFF"/>
            <w:vAlign w:val="center"/>
          </w:tcPr>
          <w:p>
            <w:pPr>
              <w:pStyle w:val="TableText"/>
            </w:pPr>
            <w:r>
              <w:t xml:space="preserve">Sin ayuno ni preparación especial. Cuello accesible, sin collares; llevar ecografías y pruebas tiroideas previas si existen.</w:t>
            </w:r>
          </w:p>
        </w:tc>
        <w:tc>
          <w:tcPr>
            <w:tcW w:w="4412" w:type="dxa"/>
            <w:shd w:fill="FFFFFF"/>
            <w:vAlign w:val="center"/>
          </w:tcPr>
          <w:p>
            <w:pPr>
              <w:pStyle w:val="TableText"/>
            </w:pPr>
            <w:r>
              <w:t xml:space="preserve">Nódulos, quistes, bocio y cambios sugestivos de tiroiditis. Estratifica sospecha de malignidad; no determina función tiroidea ni sustituye citología cuando está indicada. [7]</w:t>
            </w:r>
          </w:p>
        </w:tc>
      </w:tr>
      <w:tr>
        <w:trPr>
          <w:cantSplit/>
        </w:trPr>
        <w:tc>
          <w:tcPr>
            <w:tcW w:w="2200" w:type="dxa"/>
            <w:shd w:fill="F6F8FA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Mama</w:t>
            </w:r>
          </w:p>
        </w:tc>
        <w:tc>
          <w:tcPr>
            <w:tcW w:w="1100" w:type="dxa"/>
            <w:shd w:fill="F6F8FA"/>
            <w:vAlign w:val="center"/>
          </w:tcPr>
          <w:p>
            <w:pPr>
              <w:pStyle w:val="TableText"/>
              <w:jc w:val="center"/>
            </w:pPr>
            <w:r>
              <w:t xml:space="preserve">881201</w:t>
            </w:r>
          </w:p>
        </w:tc>
        <w:tc>
          <w:tcPr>
            <w:tcW w:w="3000" w:type="dxa"/>
            <w:shd w:fill="F6F8FA"/>
            <w:vAlign w:val="center"/>
          </w:tcPr>
          <w:p>
            <w:pPr>
              <w:pStyle w:val="TableText"/>
            </w:pPr>
            <w:r>
              <w:t xml:space="preserve">Tejido mamario y lesión de interés; regiones axilares según indicación y protocolo.</w:t>
            </w:r>
          </w:p>
        </w:tc>
        <w:tc>
          <w:tcPr>
            <w:tcW w:w="3400" w:type="dxa"/>
            <w:shd w:fill="F6F8FA"/>
            <w:vAlign w:val="center"/>
          </w:tcPr>
          <w:p>
            <w:pPr>
              <w:pStyle w:val="TableText"/>
            </w:pPr>
            <w:r>
              <w:t xml:space="preserve">Sin ayuno. Ropa que permita descubrir el tórax. Llevar mamografías, ecografías y biopsias previas.</w:t>
            </w:r>
          </w:p>
        </w:tc>
        <w:tc>
          <w:tcPr>
            <w:tcW w:w="4412" w:type="dxa"/>
            <w:shd w:fill="F6F8FA"/>
            <w:vAlign w:val="center"/>
          </w:tcPr>
          <w:p>
            <w:pPr>
              <w:pStyle w:val="TableText"/>
            </w:pPr>
            <w:r>
              <w:t xml:space="preserve">Quistes, nódulos sólidos, colecciones y hallazgos sospechosos de malignidad. Complementa la mamografía; no la reemplaza cuando está indicada ni excluye por sí sola cáncer. [8]</w:t>
            </w:r>
          </w:p>
        </w:tc>
      </w:tr>
      <w:tr>
        <w:trPr>
          <w:cantSplit/>
        </w:trPr>
        <w:tc>
          <w:tcPr>
            <w:tcW w:w="2200" w:type="dxa"/>
            <w:shd w:fill="FFFFFF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Testicular con análisis Doppler</w:t>
            </w:r>
          </w:p>
        </w:tc>
        <w:tc>
          <w:tcPr>
            <w:tcW w:w="1100" w:type="dxa"/>
            <w:shd w:fill="FFFFFF"/>
            <w:vAlign w:val="center"/>
          </w:tcPr>
          <w:p>
            <w:pPr>
              <w:pStyle w:val="TableText"/>
              <w:jc w:val="center"/>
            </w:pPr>
            <w:r>
              <w:t xml:space="preserve">881511</w:t>
            </w:r>
          </w:p>
        </w:tc>
        <w:tc>
          <w:tcPr>
            <w:tcW w:w="3000" w:type="dxa"/>
            <w:shd w:fill="FFFFFF"/>
            <w:vAlign w:val="center"/>
          </w:tcPr>
          <w:p>
            <w:pPr>
              <w:pStyle w:val="TableText"/>
            </w:pPr>
            <w:r>
              <w:t xml:space="preserve">Testículos, epidídimos, cubiertas y vascularización; cordón espermático y plexo pampiniforme según indicación.</w:t>
            </w:r>
          </w:p>
        </w:tc>
        <w:tc>
          <w:tcPr>
            <w:tcW w:w="3400" w:type="dxa"/>
            <w:shd w:fill="FFFFFF"/>
            <w:vAlign w:val="center"/>
          </w:tcPr>
          <w:p>
            <w:pPr>
              <w:pStyle w:val="TableText"/>
            </w:pPr>
            <w:r>
              <w:t xml:space="preserve">Sin ayuno ni llenado vesical. Ropa cómoda. Dolor escrotal agudo: evaluación urgente, sin retrasarla para preparación.</w:t>
            </w:r>
          </w:p>
        </w:tc>
        <w:tc>
          <w:tcPr>
            <w:tcW w:w="4412" w:type="dxa"/>
            <w:shd w:fill="FFFFFF"/>
            <w:vAlign w:val="center"/>
          </w:tcPr>
          <w:p>
            <w:pPr>
              <w:pStyle w:val="TableText"/>
            </w:pPr>
            <w:r>
              <w:t xml:space="preserve">Torsión, epididimitis u orquitis, hidrocele, varicocele, quistes y masas. La sospecha clínica alta de torsión requiere atención urgente aunque la imagen no sea concluyente. [9]</w:t>
            </w:r>
          </w:p>
        </w:tc>
      </w:tr>
      <w:tr>
        <w:trPr>
          <w:cantSplit/>
        </w:trPr>
        <w:tc>
          <w:tcPr>
            <w:tcW w:w="2200" w:type="dxa"/>
            <w:shd w:fill="F6F8FA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Tejidos blandos de extremidades</w:t>
            </w:r>
          </w:p>
        </w:tc>
        <w:tc>
          <w:tcPr>
            <w:tcW w:w="1100" w:type="dxa"/>
            <w:shd w:fill="F6F8FA"/>
            <w:vAlign w:val="center"/>
          </w:tcPr>
          <w:p>
            <w:pPr>
              <w:pStyle w:val="TableText"/>
              <w:jc w:val="center"/>
            </w:pPr>
            <w:r>
              <w:t xml:space="preserve">881601 / 881602</w:t>
            </w:r>
          </w:p>
        </w:tc>
        <w:tc>
          <w:tcPr>
            <w:tcW w:w="3000" w:type="dxa"/>
            <w:shd w:fill="F6F8FA"/>
            <w:vAlign w:val="center"/>
          </w:tcPr>
          <w:p>
            <w:pPr>
              <w:pStyle w:val="TableText"/>
            </w:pPr>
            <w:r>
              <w:t xml:space="preserve">Piel, tejido subcutáneo, músculos y lesión palpable de la extremidad. 881601: superiores; 881602: inferiores.</w:t>
            </w:r>
          </w:p>
        </w:tc>
        <w:tc>
          <w:tcPr>
            <w:tcW w:w="3400" w:type="dxa"/>
            <w:shd w:fill="F6F8FA"/>
            <w:vAlign w:val="center"/>
          </w:tcPr>
          <w:p>
            <w:pPr>
              <w:pStyle w:val="TableText"/>
            </w:pPr>
            <w:r>
              <w:t xml:space="preserve">Sin preparación especial. Descubrir y señalar el sitio exacto; especificar lado y región. Llevar estudios previos.</w:t>
            </w:r>
          </w:p>
        </w:tc>
        <w:tc>
          <w:tcPr>
            <w:tcW w:w="4412" w:type="dxa"/>
            <w:shd w:fill="F6F8FA"/>
            <w:vAlign w:val="center"/>
          </w:tcPr>
          <w:p>
            <w:pPr>
              <w:pStyle w:val="TableText"/>
            </w:pPr>
            <w:r>
              <w:t xml:space="preserve">Lipomas u otras masas superficiales, quistes, abscesos, hematomas, cuerpos extraños y desgarros musculares. Una masa indeterminada puede requerir resonancia o biopsia. [10]</w:t>
            </w:r>
          </w:p>
        </w:tc>
      </w:tr>
      <w:tr>
        <w:trPr>
          <w:cantSplit/>
        </w:trPr>
        <w:tc>
          <w:tcPr>
            <w:tcW w:w="2200" w:type="dxa"/>
            <w:shd w:fill="FFFFFF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Rodilla</w:t>
            </w:r>
          </w:p>
        </w:tc>
        <w:tc>
          <w:tcPr>
            <w:tcW w:w="1100" w:type="dxa"/>
            <w:shd w:fill="FFFFFF"/>
            <w:vAlign w:val="center"/>
          </w:tcPr>
          <w:p>
            <w:pPr>
              <w:pStyle w:val="TableText"/>
              <w:jc w:val="center"/>
            </w:pPr>
            <w:r>
              <w:t xml:space="preserve">881620</w:t>
            </w:r>
          </w:p>
        </w:tc>
        <w:tc>
          <w:tcPr>
            <w:tcW w:w="3000" w:type="dxa"/>
            <w:shd w:fill="FFFFFF"/>
            <w:vAlign w:val="center"/>
          </w:tcPr>
          <w:p>
            <w:pPr>
              <w:pStyle w:val="TableText"/>
            </w:pPr>
            <w:r>
              <w:t xml:space="preserve">Tendones cuadricipital y patelar, bursas, recesos articulares, tejidos periarticulares y región poplítea.</w:t>
            </w:r>
          </w:p>
        </w:tc>
        <w:tc>
          <w:tcPr>
            <w:tcW w:w="3400" w:type="dxa"/>
            <w:shd w:fill="FFFFFF"/>
            <w:vAlign w:val="center"/>
          </w:tcPr>
          <w:p>
            <w:pPr>
              <w:pStyle w:val="TableText"/>
            </w:pPr>
            <w:r>
              <w:t xml:space="preserve">Sin ayuno. Ropa que permita descubrir la rodilla; indicar lado y punto doloroso.</w:t>
            </w:r>
          </w:p>
        </w:tc>
        <w:tc>
          <w:tcPr>
            <w:tcW w:w="4412" w:type="dxa"/>
            <w:shd w:fill="FFFFFF"/>
            <w:vAlign w:val="center"/>
          </w:tcPr>
          <w:p>
            <w:pPr>
              <w:pStyle w:val="TableText"/>
            </w:pPr>
            <w:r>
              <w:t xml:space="preserve">Derrame, sinovitis, bursitis, quiste de Baker, tendinopatía y roturas tendinosas. No excluye lesiones de meniscos ni ligamentos cruzados. [10,16]</w:t>
            </w:r>
          </w:p>
        </w:tc>
      </w:tr>
      <w:tr>
        <w:trPr>
          <w:cantSplit/>
        </w:trPr>
        <w:tc>
          <w:tcPr>
            <w:tcW w:w="2200" w:type="dxa"/>
            <w:shd w:fill="F6F8FA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Hombro</w:t>
            </w:r>
          </w:p>
        </w:tc>
        <w:tc>
          <w:tcPr>
            <w:tcW w:w="1100" w:type="dxa"/>
            <w:shd w:fill="F6F8FA"/>
            <w:vAlign w:val="center"/>
          </w:tcPr>
          <w:p>
            <w:pPr>
              <w:pStyle w:val="TableText"/>
              <w:jc w:val="center"/>
            </w:pPr>
            <w:r>
              <w:t xml:space="preserve">881610</w:t>
            </w:r>
          </w:p>
        </w:tc>
        <w:tc>
          <w:tcPr>
            <w:tcW w:w="3000" w:type="dxa"/>
            <w:shd w:fill="F6F8FA"/>
            <w:vAlign w:val="center"/>
          </w:tcPr>
          <w:p>
            <w:pPr>
              <w:pStyle w:val="TableText"/>
            </w:pPr>
            <w:r>
              <w:t xml:space="preserve">Manguito rotador, tendón largo del bíceps, bursa subacromial-subdeltoidea y articulación acromioclavicular; valoración dinámica.</w:t>
            </w:r>
          </w:p>
        </w:tc>
        <w:tc>
          <w:tcPr>
            <w:tcW w:w="3400" w:type="dxa"/>
            <w:shd w:fill="F6F8FA"/>
            <w:vAlign w:val="center"/>
          </w:tcPr>
          <w:p>
            <w:pPr>
              <w:pStyle w:val="TableText"/>
            </w:pPr>
            <w:r>
              <w:t xml:space="preserve">Sin preparación especial. Descubrir el hombro; indicar lado, antecedente traumático y limitación de movimiento.</w:t>
            </w:r>
          </w:p>
        </w:tc>
        <w:tc>
          <w:tcPr>
            <w:tcW w:w="4412" w:type="dxa"/>
            <w:shd w:fill="F6F8FA"/>
            <w:vAlign w:val="center"/>
          </w:tcPr>
          <w:p>
            <w:pPr>
              <w:pStyle w:val="TableText"/>
            </w:pPr>
            <w:r>
              <w:t xml:space="preserve">Tendinopatía, roturas del manguito, tenosinovitis bicipital, bursitis y calcificaciones. Limitada para labrum y estructuras intraarticulares profundas. [10]</w:t>
            </w:r>
          </w:p>
        </w:tc>
      </w:tr>
      <w:tr>
        <w:trPr>
          <w:cantSplit/>
        </w:trPr>
        <w:tc>
          <w:tcPr>
            <w:tcW w:w="2200" w:type="dxa"/>
            <w:shd w:fill="FFFFFF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Cuello</w:t>
            </w:r>
          </w:p>
        </w:tc>
        <w:tc>
          <w:tcPr>
            <w:tcW w:w="1100" w:type="dxa"/>
            <w:shd w:fill="FFFFFF"/>
            <w:vAlign w:val="center"/>
          </w:tcPr>
          <w:p>
            <w:pPr>
              <w:pStyle w:val="TableText"/>
              <w:jc w:val="center"/>
            </w:pPr>
            <w:r>
              <w:t xml:space="preserve">881132</w:t>
            </w:r>
          </w:p>
        </w:tc>
        <w:tc>
          <w:tcPr>
            <w:tcW w:w="3000" w:type="dxa"/>
            <w:shd w:fill="FFFFFF"/>
            <w:vAlign w:val="center"/>
          </w:tcPr>
          <w:p>
            <w:pPr>
              <w:pStyle w:val="TableText"/>
            </w:pPr>
            <w:r>
              <w:t xml:space="preserve">Masa o región cervical indicada, tejidos blandos y ganglios visibles. Definir el objetivo anatómico de la solicitud.</w:t>
            </w:r>
          </w:p>
        </w:tc>
        <w:tc>
          <w:tcPr>
            <w:tcW w:w="3400" w:type="dxa"/>
            <w:shd w:fill="FFFFFF"/>
            <w:vAlign w:val="center"/>
          </w:tcPr>
          <w:p>
            <w:pPr>
              <w:pStyle w:val="TableText"/>
            </w:pPr>
            <w:r>
              <w:t xml:space="preserve">Sin ayuno. Retirar collares y descubrir el cuello; señalar la masa y llevar estudios previos.</w:t>
            </w:r>
          </w:p>
        </w:tc>
        <w:tc>
          <w:tcPr>
            <w:tcW w:w="4412" w:type="dxa"/>
            <w:shd w:fill="FFFFFF"/>
            <w:vAlign w:val="center"/>
          </w:tcPr>
          <w:p>
            <w:pPr>
              <w:pStyle w:val="TableText"/>
            </w:pPr>
            <w:r>
              <w:t xml:space="preserve">Adenopatías, quistes, colecciones y masas cervicales superficiales. Tiroides, glándulas salivales y mapeo ganglionar tienen códigos específicos cuando ese es el estudio solicitado. [1,11]</w:t>
            </w:r>
          </w:p>
        </w:tc>
      </w:tr>
      <w:tr>
        <w:trPr>
          <w:cantSplit/>
        </w:trPr>
        <w:tc>
          <w:tcPr>
            <w:tcW w:w="2200" w:type="dxa"/>
            <w:shd w:fill="F6F8FA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Tobillo</w:t>
            </w:r>
          </w:p>
        </w:tc>
        <w:tc>
          <w:tcPr>
            <w:tcW w:w="1100" w:type="dxa"/>
            <w:shd w:fill="F6F8FA"/>
            <w:vAlign w:val="center"/>
          </w:tcPr>
          <w:p>
            <w:pPr>
              <w:pStyle w:val="TableText"/>
              <w:jc w:val="center"/>
            </w:pPr>
            <w:r>
              <w:t xml:space="preserve">881621</w:t>
            </w:r>
          </w:p>
        </w:tc>
        <w:tc>
          <w:tcPr>
            <w:tcW w:w="3000" w:type="dxa"/>
            <w:shd w:fill="F6F8FA"/>
            <w:vAlign w:val="center"/>
          </w:tcPr>
          <w:p>
            <w:pPr>
              <w:pStyle w:val="TableText"/>
            </w:pPr>
            <w:r>
              <w:t xml:space="preserve">Tendones, vainas, ligamentos superficiales, recesos y tejidos periarticulares; Aquiles según indicación.</w:t>
            </w:r>
          </w:p>
        </w:tc>
        <w:tc>
          <w:tcPr>
            <w:tcW w:w="3400" w:type="dxa"/>
            <w:shd w:fill="F6F8FA"/>
            <w:vAlign w:val="center"/>
          </w:tcPr>
          <w:p>
            <w:pPr>
              <w:pStyle w:val="TableText"/>
            </w:pPr>
            <w:r>
              <w:t xml:space="preserve">Sin preparación especial. Retirar calzado y medias; especificar lado y sitio de dolor.</w:t>
            </w:r>
          </w:p>
        </w:tc>
        <w:tc>
          <w:tcPr>
            <w:tcW w:w="4412" w:type="dxa"/>
            <w:shd w:fill="F6F8FA"/>
            <w:vAlign w:val="center"/>
          </w:tcPr>
          <w:p>
            <w:pPr>
              <w:pStyle w:val="TableText"/>
            </w:pPr>
            <w:r>
              <w:t xml:space="preserve">Tendinopatías, tenosinovitis, roturas tendinosas, lesiones ligamentarias superficiales, derrame y bursitis. No excluye lesión osteocondral ni toda fractura. [10]</w:t>
            </w:r>
          </w:p>
        </w:tc>
      </w:tr>
      <w:tr>
        <w:trPr>
          <w:cantSplit/>
        </w:trPr>
        <w:tc>
          <w:tcPr>
            <w:tcW w:w="2200" w:type="dxa"/>
            <w:shd w:fill="FFFFFF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Próstata transabdominal</w:t>
            </w:r>
          </w:p>
        </w:tc>
        <w:tc>
          <w:tcPr>
            <w:tcW w:w="1100" w:type="dxa"/>
            <w:shd w:fill="FFFFFF"/>
            <w:vAlign w:val="center"/>
          </w:tcPr>
          <w:p>
            <w:pPr>
              <w:pStyle w:val="TableText"/>
              <w:jc w:val="center"/>
            </w:pPr>
            <w:r>
              <w:t xml:space="preserve">881501</w:t>
            </w:r>
          </w:p>
        </w:tc>
        <w:tc>
          <w:tcPr>
            <w:tcW w:w="3000" w:type="dxa"/>
            <w:shd w:fill="FFFFFF"/>
            <w:vAlign w:val="center"/>
          </w:tcPr>
          <w:p>
            <w:pPr>
              <w:pStyle w:val="TableText"/>
            </w:pPr>
            <w:r>
              <w:t xml:space="preserve">Volumen y morfología prostática por ventana vesical; protrusión intravesical y residuo posmiccional según protocolo.</w:t>
            </w:r>
          </w:p>
        </w:tc>
        <w:tc>
          <w:tcPr>
            <w:tcW w:w="3400" w:type="dxa"/>
            <w:shd w:fill="FFFFFF"/>
            <w:vAlign w:val="center"/>
          </w:tcPr>
          <w:p>
            <w:pPr>
              <w:pStyle w:val="TableText"/>
            </w:pPr>
            <w:r>
              <w:t xml:space="preserve">Vejiga cómodamente llena según indicación. Puede solicitarse orinar para medir residuo. No requiere enema para esta vía.</w:t>
            </w:r>
          </w:p>
        </w:tc>
        <w:tc>
          <w:tcPr>
            <w:tcW w:w="4412" w:type="dxa"/>
            <w:shd w:fill="FFFFFF"/>
            <w:vAlign w:val="center"/>
          </w:tcPr>
          <w:p>
            <w:pPr>
              <w:pStyle w:val="TableText"/>
            </w:pPr>
            <w:r>
              <w:t xml:space="preserve">Crecimiento prostático y signos asociados de obstrucción urinaria. No descarta cáncer de próstata; correlacionar con valoración clínica y PSA cuando corresponda. [5,12]</w:t>
            </w:r>
          </w:p>
        </w:tc>
      </w:tr>
      <w:tr>
        <w:trPr>
          <w:cantSplit/>
        </w:trPr>
        <w:tc>
          <w:tcPr>
            <w:tcW w:w="2200" w:type="dxa"/>
            <w:shd w:fill="F6F8FA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Obstétrica con translucencia nucal (tamizaje del primer trimestre)</w:t>
            </w:r>
          </w:p>
        </w:tc>
        <w:tc>
          <w:tcPr>
            <w:tcW w:w="1100" w:type="dxa"/>
            <w:shd w:fill="F6F8FA"/>
            <w:vAlign w:val="center"/>
          </w:tcPr>
          <w:p>
            <w:pPr>
              <w:pStyle w:val="TableText"/>
              <w:jc w:val="center"/>
            </w:pPr>
            <w:r>
              <w:t xml:space="preserve">881436</w:t>
            </w:r>
          </w:p>
        </w:tc>
        <w:tc>
          <w:tcPr>
            <w:tcW w:w="3000" w:type="dxa"/>
            <w:shd w:fill="F6F8FA"/>
            <w:vAlign w:val="center"/>
          </w:tcPr>
          <w:p>
            <w:pPr>
              <w:pStyle w:val="TableText"/>
            </w:pPr>
            <w:r>
              <w:t xml:space="preserve">Longitud cráneo-rabadilla, translucencia nucal y anatomía temprana; otros marcadores según protocolo de tamizaje.</w:t>
            </w:r>
          </w:p>
        </w:tc>
        <w:tc>
          <w:tcPr>
            <w:tcW w:w="3400" w:type="dxa"/>
            <w:shd w:fill="F6F8FA"/>
            <w:vAlign w:val="center"/>
          </w:tcPr>
          <w:p>
            <w:pPr>
              <w:pStyle w:val="TableText"/>
            </w:pPr>
            <w:r>
              <w:t xml:space="preserve">Programar en la ventana del protocolo del primer trimestre, alrededor de 11–14 semanas. Sin ayuno habitual. Llevar antecedentes, ecografías y resultados del tamizaje disponibles.</w:t>
            </w:r>
          </w:p>
        </w:tc>
        <w:tc>
          <w:tcPr>
            <w:tcW w:w="4412" w:type="dxa"/>
            <w:shd w:fill="F6F8FA"/>
            <w:vAlign w:val="center"/>
          </w:tcPr>
          <w:p>
            <w:pPr>
              <w:pStyle w:val="TableText"/>
            </w:pPr>
            <w:r>
              <w:t xml:space="preserve">Marcadores de riesgo de aneuploidías y anomalías estructurales tempranas. La ecografía sola no confirma ni excluye un trastorno genético; el riesgo combinado integra otros datos. [13]</w:t>
            </w:r>
          </w:p>
        </w:tc>
      </w:tr>
      <w:tr>
        <w:trPr>
          <w:cantSplit/>
        </w:trPr>
        <w:tc>
          <w:tcPr>
            <w:tcW w:w="2200" w:type="dxa"/>
            <w:shd w:fill="FFFFFF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Obstétrica con detalle anatómico</w:t>
            </w:r>
          </w:p>
        </w:tc>
        <w:tc>
          <w:tcPr>
            <w:tcW w:w="1100" w:type="dxa"/>
            <w:shd w:fill="FFFFFF"/>
            <w:vAlign w:val="center"/>
          </w:tcPr>
          <w:p>
            <w:pPr>
              <w:pStyle w:val="TableText"/>
              <w:jc w:val="center"/>
            </w:pPr>
            <w:r>
              <w:t xml:space="preserve">881437</w:t>
            </w:r>
          </w:p>
        </w:tc>
        <w:tc>
          <w:tcPr>
            <w:tcW w:w="3000" w:type="dxa"/>
            <w:shd w:fill="FFFFFF"/>
            <w:vAlign w:val="center"/>
          </w:tcPr>
          <w:p>
            <w:pPr>
              <w:pStyle w:val="TableText"/>
            </w:pPr>
            <w:r>
              <w:t xml:space="preserve">Evaluación sistemática de anatomía fetal, biometría, placenta, cordón y líquido amniótico; estructuras según protocolo.</w:t>
            </w:r>
          </w:p>
        </w:tc>
        <w:tc>
          <w:tcPr>
            <w:tcW w:w="3400" w:type="dxa"/>
            <w:shd w:fill="FFFFFF"/>
            <w:vAlign w:val="center"/>
          </w:tcPr>
          <w:p>
            <w:pPr>
              <w:pStyle w:val="TableText"/>
            </w:pPr>
            <w:r>
              <w:t xml:space="preserve">Habitualmente entre 18 y 24 semanas, según protocolo e indicación. Sin ayuno habitual. Llevar ecografías y resultados previos de tamizaje.</w:t>
            </w:r>
          </w:p>
        </w:tc>
        <w:tc>
          <w:tcPr>
            <w:tcW w:w="4412" w:type="dxa"/>
            <w:shd w:fill="FFFFFF"/>
            <w:vAlign w:val="center"/>
          </w:tcPr>
          <w:p>
            <w:pPr>
              <w:pStyle w:val="TableText"/>
            </w:pPr>
            <w:r>
              <w:t xml:space="preserve">Malformaciones estructurales de sistema nervioso, cara, corazón, tórax, abdomen, riñones, columna y extremidades. No detecta todas las anomalías ni excluye enfermedad genética. [14]</w:t>
            </w:r>
          </w:p>
        </w:tc>
      </w:tr>
      <w:tr>
        <w:trPr>
          <w:cantSplit/>
        </w:trPr>
        <w:tc>
          <w:tcPr>
            <w:tcW w:w="2200" w:type="dxa"/>
            <w:shd w:fill="F6F8FA"/>
            <w:vAlign w:val="center"/>
          </w:tcPr>
          <w:p>
            <w:pPr>
              <w:pStyle w:val="TableText"/>
            </w:pPr>
            <w:r>
              <w:rPr>
                <w:b/>
              </w:rPr>
              <w:t xml:space="preserve">Pared abdominal y pelvis (tejidos blandos)</w:t>
            </w:r>
          </w:p>
        </w:tc>
        <w:tc>
          <w:tcPr>
            <w:tcW w:w="1100" w:type="dxa"/>
            <w:shd w:fill="F6F8FA"/>
            <w:vAlign w:val="center"/>
          </w:tcPr>
          <w:p>
            <w:pPr>
              <w:pStyle w:val="TableText"/>
              <w:jc w:val="center"/>
            </w:pPr>
            <w:r>
              <w:t xml:space="preserve">881301</w:t>
            </w:r>
          </w:p>
        </w:tc>
        <w:tc>
          <w:tcPr>
            <w:tcW w:w="3000" w:type="dxa"/>
            <w:shd w:fill="F6F8FA"/>
            <w:vAlign w:val="center"/>
          </w:tcPr>
          <w:p>
            <w:pPr>
              <w:pStyle w:val="TableText"/>
            </w:pPr>
            <w:r>
              <w:t xml:space="preserve">Planos de pared, fascia, músculos, cicatrices y región de interés; evaluación dinámica con Valsalva o de pie si procede.</w:t>
            </w:r>
          </w:p>
        </w:tc>
        <w:tc>
          <w:tcPr>
            <w:tcW w:w="3400" w:type="dxa"/>
            <w:shd w:fill="F6F8FA"/>
            <w:vAlign w:val="center"/>
          </w:tcPr>
          <w:p>
            <w:pPr>
              <w:pStyle w:val="TableText"/>
            </w:pPr>
            <w:r>
              <w:t xml:space="preserve">Sin ayuno habitual para un estudio limitado a pared. Ropa cómoda; señalar abultamiento o dolor. Si se combina con abdomen, seguir preparación de ese estudio.</w:t>
            </w:r>
          </w:p>
        </w:tc>
        <w:tc>
          <w:tcPr>
            <w:tcW w:w="4412" w:type="dxa"/>
            <w:shd w:fill="F6F8FA"/>
            <w:vAlign w:val="center"/>
          </w:tcPr>
          <w:p>
            <w:pPr>
              <w:pStyle w:val="TableText"/>
            </w:pPr>
            <w:r>
              <w:t xml:space="preserve">Hernias umbilicales, incisionales o inguinales según región; diástasis, hematomas, colecciones y masas. Sospecha de hernia complicada requiere valoración urgente. [10,15]</w:t>
            </w:r>
          </w:p>
        </w:tc>
      </w:tr>
    </w:tbl>
    <w:p>
      <w:pPr>
        <w:pStyle w:val="Heading1"/>
        <w:pageBreakBefore/>
      </w:pPr>
      <w:r>
        <w:t xml:space="preserve">Notas de uso y fuentes</w:t>
      </w:r>
    </w:p>
    <w:p>
      <w:pPr>
        <w:pStyle w:val="Small"/>
      </w:pPr>
      <w:r>
        <w:t xml:space="preserve">Preparación: llevar orden e imágenes previas. El ayuno y el volumen de agua deben adaptarse en niños, embarazo, diabetes, insuficiencia cardíaca o renal y restricción de líquidos. No suspender medicamentos por esta tabla; confirmar instrucciones individualizadas.</w:t>
      </w:r>
    </w:p>
    <w:p>
      <w:pPr>
        <w:pStyle w:val="Small"/>
      </w:pPr>
      <w:r>
        <w:t xml:space="preserve">Codificación: se muestran códigos sin puntos. Próstata se refiere a la vía transabdominal; la vía transrectal tiene otro código (881502). Testicular sin Doppler: 881510. La ecografía obstétrica transvaginal corresponde a 881432. No intercambiar códigos ni asumir cobro adicional por estudios superpuestos: verificar orden y procedimiento efectivamente realizado.</w:t>
      </w:r>
    </w:p>
    <w:p>
      <w:pPr>
        <w:pStyle w:val="Small"/>
      </w:pPr>
      <w:r>
        <w:t xml:space="preserve">Fuentes de consulta. [1] respalda los códigos de todas las filas; los números de cada fila identifican fuentes clínicas y de preparación. Síntesis para revisión médica, no protocolo institucional aprobado.</w:t>
      </w:r>
    </w:p>
    <w:p>
      <w:pPr>
        <w:pStyle w:val="Source"/>
      </w:pPr>
      <w:hyperlink r:id="src1">
        <w:r>
          <w:rPr>
            <w:color w:val="245C82"/>
            <w:u w:val="single"/>
          </w:rPr>
          <w:t>[1] Ministerio de Salud y Protección Social. Resolución 2706 de 2025, Anexo técnico 2; páginas 276–277. CUPS para 2026.</w:t>
        </w:r>
      </w:hyperlink>
    </w:p>
    <w:p>
      <w:pPr>
        <w:pStyle w:val="Source"/>
      </w:pPr>
      <w:hyperlink r:id="src2">
        <w:r>
          <w:rPr>
            <w:color w:val="245C82"/>
            <w:u w:val="single"/>
          </w:rPr>
          <w:t>[2] ACR/RSNA. Abdominal Ultrasound.</w:t>
        </w:r>
      </w:hyperlink>
    </w:p>
    <w:p>
      <w:pPr>
        <w:pStyle w:val="Source"/>
      </w:pPr>
      <w:hyperlink r:id="src3">
        <w:r>
          <w:rPr>
            <w:color w:val="245C82"/>
            <w:u w:val="single"/>
          </w:rPr>
          <w:t>[3] Guy’s and St Thomas’ NHS. Abdominal ultrasound scan: preparación.</w:t>
        </w:r>
      </w:hyperlink>
    </w:p>
    <w:p>
      <w:pPr>
        <w:pStyle w:val="Source"/>
      </w:pPr>
      <w:hyperlink r:id="src4">
        <w:r>
          <w:rPr>
            <w:color w:val="245C82"/>
            <w:u w:val="single"/>
          </w:rPr>
          <w:t>[4] ACR/RSNA. Renal Ultrasound.</w:t>
        </w:r>
      </w:hyperlink>
    </w:p>
    <w:p>
      <w:pPr>
        <w:pStyle w:val="Source"/>
      </w:pPr>
      <w:hyperlink r:id="src5">
        <w:r>
          <w:rPr>
            <w:color w:val="245C82"/>
            <w:u w:val="single"/>
          </w:rPr>
          <w:t>[5] ACR/RSNA. Pelvis Ultrasound.</w:t>
        </w:r>
      </w:hyperlink>
    </w:p>
    <w:p>
      <w:pPr>
        <w:pStyle w:val="Source"/>
      </w:pPr>
      <w:hyperlink r:id="src6">
        <w:r>
          <w:rPr>
            <w:color w:val="245C82"/>
            <w:u w:val="single"/>
          </w:rPr>
          <w:t>[6] ACR/RSNA. Obstetric Ultrasound.</w:t>
        </w:r>
      </w:hyperlink>
    </w:p>
    <w:p>
      <w:pPr>
        <w:pStyle w:val="Source"/>
      </w:pPr>
      <w:hyperlink r:id="src7">
        <w:r>
          <w:rPr>
            <w:color w:val="245C82"/>
            <w:u w:val="single"/>
          </w:rPr>
          <w:t>[7] ACR/RSNA. Thyroid Ultrasound.</w:t>
        </w:r>
      </w:hyperlink>
    </w:p>
    <w:p>
      <w:pPr>
        <w:pStyle w:val="Source"/>
      </w:pPr>
      <w:hyperlink r:id="src8">
        <w:r>
          <w:rPr>
            <w:color w:val="245C82"/>
            <w:u w:val="single"/>
          </w:rPr>
          <w:t>[8] ACR/RSNA. Breast Ultrasound.</w:t>
        </w:r>
      </w:hyperlink>
    </w:p>
    <w:p>
      <w:pPr>
        <w:pStyle w:val="Source"/>
      </w:pPr>
      <w:hyperlink r:id="src9">
        <w:r>
          <w:rPr>
            <w:color w:val="245C82"/>
            <w:u w:val="single"/>
          </w:rPr>
          <w:t>[9] ACR/RSNA. Ultrasound Imaging of the Scrotum.</w:t>
        </w:r>
      </w:hyperlink>
    </w:p>
    <w:p>
      <w:pPr>
        <w:pStyle w:val="Source"/>
      </w:pPr>
      <w:hyperlink r:id="src10">
        <w:r>
          <w:rPr>
            <w:color w:val="245C82"/>
            <w:u w:val="single"/>
          </w:rPr>
          <w:t>[10] ACR/RSNA. Musculoskeletal Ultrasound.</w:t>
        </w:r>
      </w:hyperlink>
    </w:p>
    <w:p>
      <w:pPr>
        <w:pStyle w:val="Source"/>
      </w:pPr>
      <w:hyperlink r:id="src11">
        <w:r>
          <w:rPr>
            <w:color w:val="245C82"/>
            <w:u w:val="single"/>
          </w:rPr>
          <w:t>[11] ACR/RSNA. Appropriateness Criteria: Neck Mass/Adenopathy.</w:t>
        </w:r>
      </w:hyperlink>
    </w:p>
    <w:p>
      <w:pPr>
        <w:pStyle w:val="Source"/>
      </w:pPr>
      <w:hyperlink r:id="src12">
        <w:r>
          <w:rPr>
            <w:color w:val="245C82"/>
            <w:u w:val="single"/>
          </w:rPr>
          <w:t>[12] ACR/RSNA. Enlarged Prostate (BPH).</w:t>
        </w:r>
      </w:hyperlink>
    </w:p>
    <w:p>
      <w:pPr>
        <w:pStyle w:val="Source"/>
      </w:pPr>
      <w:hyperlink r:id="src13">
        <w:r>
          <w:rPr>
            <w:color w:val="245C82"/>
            <w:u w:val="single"/>
          </w:rPr>
          <w:t>[13] ISUOG. Nuchal Translucency (NT).</w:t>
        </w:r>
      </w:hyperlink>
    </w:p>
    <w:p>
      <w:pPr>
        <w:pStyle w:val="Source"/>
      </w:pPr>
      <w:hyperlink r:id="src14">
        <w:r>
          <w:rPr>
            <w:color w:val="245C82"/>
            <w:u w:val="single"/>
          </w:rPr>
          <w:t>[14] ISUOG. Practice Guidelines: routine mid-trimester fetal ultrasound scan, 2022.</w:t>
        </w:r>
      </w:hyperlink>
    </w:p>
    <w:p>
      <w:pPr>
        <w:pStyle w:val="Source"/>
      </w:pPr>
      <w:hyperlink r:id="src15">
        <w:r>
          <w:rPr>
            <w:color w:val="245C82"/>
            <w:u w:val="single"/>
          </w:rPr>
          <w:t>[15] ACR/RSNA. Appropriateness Criteria: Hernia.</w:t>
        </w:r>
      </w:hyperlink>
    </w:p>
    <w:p>
      <w:pPr>
        <w:pStyle w:val="Source"/>
      </w:pPr>
      <w:hyperlink r:id="src16">
        <w:r>
          <w:rPr>
            <w:color w:val="245C82"/>
            <w:u w:val="single"/>
          </w:rPr>
          <w:t>[16] RSNA. US of the Knee: Scanning Techniques, Pitfalls, and Pathologic Conditions.</w:t>
        </w:r>
      </w:hyperlink>
    </w:p>
    <w:sectPr>
      <w:headerReference w:type="default" r:id="header"/>
      <w:footerReference w:type="default" r:id="footer"/>
      <w:pgSz w:w="15840" w:h="12240" w:orient="landscape"/>
      <w:pgMar w:top="864" w:right="864" w:bottom="864" w:left="864" w:header="400" w:footer="400"/>
    </w:sectPr>
  </w:body>
</w:document>
</file>

<file path=word/footer1.xml><?xml version="1.0" encoding="utf-8"?>
<w:ftr xmlns:w="http://schemas.openxmlformats.org/wordprocessingml/2006/main">
  <w:p>
    <w:pPr>
      <w:pStyle w:val="Small"/>
      <w:jc w:val="right"/>
    </w:pPr>
    <w:r>
      <w:t xml:space="preserve">Guía de referencia · Uso clínico interno</w:t>
    </w:r>
  </w:p>
  <w:p>
    <w:pPr>
      <w:pStyle w:val="Small"/>
      <w:jc w:val="right"/>
    </w:pPr>
    <w:fldSimple w:instr="PAGE"/>
  </w:p>
</w:ftr>
</file>

<file path=word/header1.xml><?xml version="1.0" encoding="utf-8"?>
<w:hdr xmlns:w="http://schemas.openxmlformats.org/wordprocessingml/2006/main">
  <w:p>
    <w:pPr>
      <w:pStyle w:val="Small"/>
    </w:pPr>
    <w:r>
      <w:t xml:space="preserve">CENTRO MÉDICO  /  ECOGRAFÍA  /  CUPS 2026</w:t>
    </w:r>
  </w:p>
</w:hdr>
</file>

<file path=word/styles.xml><?xml version="1.0" encoding="utf-8"?>
<w:styles xmlns:w="http://schemas.openxmlformats.org/wordprocessingml/2006/main">
  <w:style w:type="paragraph" w:styleId="Normal">
    <w:name w:val="Normal"/>
    <w:pPr>
      <w:spacing w:before="0" w:after="120" w:line="300" w:lineRule="auto"/>
    </w:pPr>
    <w:rPr>
      <w:rFonts w:ascii="Calibri" w:hAnsi="Calibri"/>
      <w:sz w:val="22"/>
      <w:color w:val="202B33"/>
    </w:rPr>
  </w:style>
  <w:style w:type="paragraph" w:styleId="Title">
    <w:name w:val="Title"/>
    <w:pPr>
      <w:spacing w:before="0" w:after="120" w:line="260" w:lineRule="auto"/>
      <w:keepNext/>
    </w:pPr>
    <w:rPr>
      <w:rFonts w:ascii="Calibri" w:hAnsi="Calibri"/>
      <w:sz w:val="40"/>
      <w:color w:val="173E48"/>
      <w:b/>
    </w:rPr>
  </w:style>
  <w:style w:type="paragraph" w:styleId="Subtitle">
    <w:name w:val="Subtitle"/>
    <w:pPr>
      <w:spacing w:before="0" w:after="120" w:line="260" w:lineRule="auto"/>
    </w:pPr>
    <w:rPr>
      <w:rFonts w:ascii="Calibri" w:hAnsi="Calibri"/>
      <w:sz w:val="20"/>
      <w:color w:val="586B75"/>
    </w:rPr>
  </w:style>
  <w:style w:type="paragraph" w:styleId="Heading1">
    <w:name w:val="Heading1"/>
    <w:pPr>
      <w:spacing w:before="360" w:after="200" w:line="300" w:lineRule="auto"/>
      <w:keepNext/>
    </w:pPr>
    <w:rPr>
      <w:rFonts w:ascii="Calibri" w:hAnsi="Calibri"/>
      <w:sz w:val="32"/>
      <w:color w:val="2E74B5"/>
      <w:b/>
    </w:rPr>
  </w:style>
  <w:style w:type="paragraph" w:styleId="Heading2">
    <w:name w:val="Heading2"/>
    <w:pPr>
      <w:spacing w:before="280" w:after="140" w:line="300" w:lineRule="auto"/>
      <w:keepNext/>
    </w:pPr>
    <w:rPr>
      <w:rFonts w:ascii="Calibri" w:hAnsi="Calibri"/>
      <w:sz w:val="26"/>
      <w:color w:val="2E74B5"/>
      <w:b/>
    </w:rPr>
  </w:style>
  <w:style w:type="paragraph" w:styleId="Heading3">
    <w:name w:val="Heading3"/>
    <w:pPr>
      <w:spacing w:before="200" w:after="100" w:line="300" w:lineRule="auto"/>
      <w:keepNext/>
    </w:pPr>
    <w:rPr>
      <w:rFonts w:ascii="Calibri" w:hAnsi="Calibri"/>
      <w:sz w:val="24"/>
      <w:color w:val="1F4D78"/>
      <w:b/>
    </w:rPr>
  </w:style>
  <w:style w:type="paragraph" w:styleId="TableText">
    <w:name w:val="TableText"/>
    <w:pPr>
      <w:spacing w:before="0" w:after="20" w:line="252" w:lineRule="auto"/>
    </w:pPr>
    <w:rPr>
      <w:rFonts w:ascii="Calibri" w:hAnsi="Calibri"/>
      <w:sz w:val="19"/>
      <w:color w:val="202B33"/>
    </w:rPr>
  </w:style>
  <w:style w:type="paragraph" w:styleId="Small">
    <w:name w:val="Small"/>
    <w:pPr>
      <w:spacing w:before="80" w:after="80" w:line="240" w:lineRule="auto"/>
    </w:pPr>
    <w:rPr>
      <w:rFonts w:ascii="Calibri" w:hAnsi="Calibri"/>
      <w:sz w:val="18"/>
      <w:color w:val="586B75"/>
    </w:rPr>
  </w:style>
  <w:style w:type="paragraph" w:styleId="Source">
    <w:name w:val="Source"/>
    <w:pPr>
      <w:spacing w:before="0" w:after="70" w:line="240" w:lineRule="auto"/>
    </w:pPr>
    <w:rPr>
      <w:rFonts w:ascii="Calibri" w:hAnsi="Calibri"/>
      <w:sz w:val="18"/>
      <w:color w:val="344A57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footer" Type="http://schemas.openxmlformats.org/officeDocument/2006/relationships/footer" Target="footer1.xml"/><Relationship Id="header" Type="http://schemas.openxmlformats.org/officeDocument/2006/relationships/header" Target="header1.xml"/><Relationship Id="src1" Type="http://schemas.openxmlformats.org/officeDocument/2006/relationships/hyperlink" Target="https://www.minsalud.gov.co/sites/rid/Lists/BibliotecaDigital/RIDE/DE/DIJ/resolucion-2706-de-2025.pdf" TargetMode="External"/><Relationship Id="src2" Type="http://schemas.openxmlformats.org/officeDocument/2006/relationships/hyperlink" Target="https://www.radiologyinfo.org/en/info/abdominus" TargetMode="External"/><Relationship Id="src3" Type="http://schemas.openxmlformats.org/officeDocument/2006/relationships/hyperlink" Target="https://www.guysandstthomas.nhs.uk/health-information/abdominal-ultrasound-scan" TargetMode="External"/><Relationship Id="src4" Type="http://schemas.openxmlformats.org/officeDocument/2006/relationships/hyperlink" Target="https://www.radiologyinfo.org/en/info/ultrasound-renal" TargetMode="External"/><Relationship Id="src5" Type="http://schemas.openxmlformats.org/officeDocument/2006/relationships/hyperlink" Target="https://www.radiologyinfo.org/en/info/pelvus" TargetMode="External"/><Relationship Id="src6" Type="http://schemas.openxmlformats.org/officeDocument/2006/relationships/hyperlink" Target="https://www.radiologyinfo.org/en/info/obstetricus" TargetMode="External"/><Relationship Id="src7" Type="http://schemas.openxmlformats.org/officeDocument/2006/relationships/hyperlink" Target="https://www.radiologyinfo.org/en/info/us-thyroid" TargetMode="External"/><Relationship Id="src8" Type="http://schemas.openxmlformats.org/officeDocument/2006/relationships/hyperlink" Target="https://www.radiologyinfo.org/en/info/breastus" TargetMode="External"/><Relationship Id="src9" Type="http://schemas.openxmlformats.org/officeDocument/2006/relationships/hyperlink" Target="https://www.radiologyinfo.org/en/info/us-scrotal" TargetMode="External"/><Relationship Id="src10" Type="http://schemas.openxmlformats.org/officeDocument/2006/relationships/hyperlink" Target="https://www.radiologyinfo.org/en/info/musculous" TargetMode="External"/><Relationship Id="src11" Type="http://schemas.openxmlformats.org/officeDocument/2006/relationships/hyperlink" Target="https://www.radiologyinfo.org/en/info/acs-neck-mass-adenopathy" TargetMode="External"/><Relationship Id="src12" Type="http://schemas.openxmlformats.org/officeDocument/2006/relationships/hyperlink" Target="https://www.radiologyinfo.org/en/info/bph" TargetMode="External"/><Relationship Id="src13" Type="http://schemas.openxmlformats.org/officeDocument/2006/relationships/hyperlink" Target="https://www.isuog.org/clinical-resources/patient-information-series/patient-information-pregnancy-conditions/early-pregnancy/nuchal-translucency-nt.html" TargetMode="External"/><Relationship Id="src14" Type="http://schemas.openxmlformats.org/officeDocument/2006/relationships/hyperlink" Target="https://www.isuog.org/static/4e2ed89e-fa8a-42c2-9c0929cd89cb58ff/ISUOG-Practice-Guidelines-routine-mid-trimester-fetal-ultrasound.pdf" TargetMode="External"/><Relationship Id="src15" Type="http://schemas.openxmlformats.org/officeDocument/2006/relationships/hyperlink" Target="https://www.radiologyinfo.org/en/info/acs-hernia" TargetMode="External"/><Relationship Id="src16" Type="http://schemas.openxmlformats.org/officeDocument/2006/relationships/hyperlink" Target="https://pubs.rsna.org/radiographics/doi/10.1148/rg.2016160019" TargetMode="External"/></Relationships>
</file>